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60"/>
      </w:pPr>
      <w:r>
        <w:rPr>
          <w:rFonts w:ascii="Calibri" w:hAnsi="Calibri"/>
          <w:b/>
          <w:color w:val="C9972B"/>
          <w:sz w:val="18"/>
        </w:rPr>
        <w:t>PLAIN-ENGLISH GUIDE</w:t>
      </w:r>
    </w:p>
    <w:p>
      <w:pPr>
        <w:keepNext/>
        <w:spacing w:before="0" w:after="60"/>
      </w:pPr>
      <w:r>
        <w:rPr>
          <w:rFonts w:ascii="Calibri" w:hAnsi="Calibri"/>
          <w:b/>
          <w:color w:val="0B2545"/>
          <w:sz w:val="48"/>
        </w:rPr>
        <w:t>Levies, budgets and long-term maintenance planning</w:t>
      </w:r>
    </w:p>
    <w:p>
      <w:pPr>
        <w:spacing w:after="180"/>
      </w:pPr>
      <w:r>
        <w:rPr>
          <w:rFonts w:ascii="Calibri" w:hAnsi="Calibri"/>
          <w:i/>
          <w:color w:val="5F6B7A"/>
          <w:sz w:val="23"/>
        </w:rPr>
        <w:t>How shared-property schemes turn future obligations into fair and visible funding decisions</w:t>
      </w:r>
    </w:p>
    <w:p>
      <w:pPr>
        <w:keepLines/>
        <w:spacing w:before="0" w:after="160"/>
        <w:ind w:left="230" w:right="230"/>
        <w:shd w:fill="FFF8E8"/>
      </w:pPr>
      <w:r>
        <w:rPr>
          <w:rFonts w:ascii="Calibri" w:hAnsi="Calibri"/>
          <w:b/>
          <w:color w:val="0B2545"/>
          <w:sz w:val="21"/>
        </w:rPr>
        <w:t xml:space="preserve">In brief. </w:t>
      </w:r>
      <w:r>
        <w:rPr>
          <w:rFonts w:ascii="Calibri" w:hAnsi="Calibri"/>
          <w:color w:val="233044"/>
          <w:sz w:val="21"/>
        </w:rPr>
        <w:t>Levies are owner contributions approved to fund the corporation's administration, insurance, maintenance and future works. Good financial governance connects every levy to an adopted budget, the correct entitlement method and a transparent record of expenditure.</w:t>
      </w:r>
    </w:p>
    <w:p>
      <w:pPr>
        <w:pStyle w:val="Heading2"/>
        <w:keepNext/>
      </w:pPr>
      <w:r>
        <w:t>Why corporations raise contributions</w:t>
      </w:r>
    </w:p>
    <w:p>
      <w:pPr>
        <w:widowControl/>
      </w:pPr>
      <w:r>
        <w:t>The corporation needs cash to meet recurring costs such as insurance, utilities, administration, cleaning and routine maintenance. It also needs to prepare for less frequent but expensive work such as roofs, lifts, paving, painting, fire systems and major plant replacement.</w:t>
      </w:r>
    </w:p>
    <w:p>
      <w:pPr>
        <w:widowControl/>
      </w:pPr>
      <w:r>
        <w:t>South Australian unit or lot entitlements influence how owners contribute to insurance and other corporation costs. The plan records those entitlements. The applicable Act, rules and resolutions determine how particular amounts must be raised.</w:t>
      </w:r>
    </w:p>
    <w:p>
      <w:pPr>
        <w:pStyle w:val="Heading2"/>
        <w:keepNext/>
      </w:pPr>
      <w:r>
        <w:t>A budget is more than last year's figures</w:t>
      </w:r>
    </w:p>
    <w:p>
      <w:pPr>
        <w:widowControl/>
      </w:pPr>
      <w:r>
        <w:t>A sound annual budget starts with current contracts, insurance renewal estimates, known defects, compliance obligations, likely price changes and the forward maintenance plan. It should distinguish routine operating costs from future capital work and show owners the assumptions behind the contribution.</w:t>
      </w:r>
    </w:p>
    <w:p>
      <w:pPr>
        <w:widowControl/>
      </w:pPr>
      <w:r>
        <w:t>Underfunding does not make the obligation disappear. It usually shifts the cost into a future special contribution, deferred maintenance or emergency decision. Overly large balances without an explained purpose can also undermine trust.</w:t>
      </w:r>
    </w:p>
    <w:p>
      <w:pPr>
        <w:pStyle w:val="Heading2"/>
        <w:keepNext/>
      </w:pPr>
      <w:r>
        <w:t>Controls for self-managed schemes</w:t>
      </w:r>
    </w:p>
    <w:p>
      <w:pPr>
        <w:widowControl/>
      </w:pPr>
      <w:r>
        <w:t>Use a bank account in the corporation's name. Separate approval from payment where practical. Require invoices and evidence that work was received. Reconcile bank and ledger balances. Report actual spending against budget. Maintain a contract and insurance renewal calendar. Keep a clear levy register and follow the statutory process for arrears and hardship arrangements.</w:t>
      </w:r>
    </w:p>
    <w:p>
      <w:pPr>
        <w:widowControl/>
      </w:pPr>
      <w:r>
        <w:t>Committee members should not treat corporation funds as informal shared money. Expenditure must be authorised, connected to a corporation purpose and supported by records.</w:t>
      </w:r>
    </w:p>
    <w:p>
      <w:pPr>
        <w:pStyle w:val="Heading2"/>
        <w:keepNext/>
      </w:pPr>
      <w:r>
        <w:t>Make long-term planning visible</w:t>
      </w:r>
    </w:p>
    <w:p>
      <w:pPr>
        <w:widowControl/>
      </w:pPr>
      <w:r>
        <w:t>List major assets, condition, expected remaining life, indicative replacement cost and planned year of work. Review this forecast annually and update it when inspections or completed work change the assumptions. Link each major project to the report, resolution, funding decision, contract and completion evidence.</w:t>
      </w:r>
    </w:p>
    <w:p>
      <w:pPr>
        <w:widowControl/>
      </w:pPr>
      <w:r>
        <w:t>Exact fund structures and planning requirements differ by state, scheme size and title type. Confirm the South Australian requirements for your corporation rather than copying another jurisdiction's ten-year-plan terminology.</w:t>
      </w:r>
    </w:p>
    <w:p>
      <w:pPr>
        <w:pStyle w:val="Heading2"/>
        <w:spacing w:before="100" w:after="20"/>
      </w:pPr>
      <w:r>
        <w:t>Official sources and further reading</w:t>
      </w:r>
    </w:p>
    <w:p>
      <w:pPr>
        <w:pStyle w:val="Source"/>
        <w:ind w:left="259" w:hanging="259"/>
      </w:pPr>
      <w:r>
        <w:rPr>
          <w:rFonts w:ascii="Calibri" w:hAnsi="Calibri"/>
          <w:b/>
          <w:color w:val="C9972B"/>
          <w:sz w:val="16"/>
        </w:rPr>
        <w:t xml:space="preserve">• </w:t>
      </w:r>
      <w:hyperlink r:id="rId11">
        <w:r>
          <w:rPr>
            <w:color w:val="167D7F"/>
            <w:u w:val="single"/>
          </w:rPr>
          <w:t>SA.GOV.AU - Strata titles</w:t>
        </w:r>
      </w:hyperlink>
    </w:p>
    <w:p>
      <w:pPr>
        <w:pStyle w:val="Source"/>
        <w:ind w:left="259" w:hanging="259"/>
      </w:pPr>
      <w:r>
        <w:rPr>
          <w:rFonts w:ascii="Calibri" w:hAnsi="Calibri"/>
          <w:b/>
          <w:color w:val="C9972B"/>
          <w:sz w:val="16"/>
        </w:rPr>
        <w:t xml:space="preserve">• </w:t>
      </w:r>
      <w:hyperlink r:id="rId12">
        <w:r>
          <w:rPr>
            <w:color w:val="167D7F"/>
            <w:u w:val="single"/>
          </w:rPr>
          <w:t>SA.GOV.AU - Community titles</w:t>
        </w:r>
      </w:hyperlink>
    </w:p>
    <w:p>
      <w:pPr>
        <w:pStyle w:val="Source"/>
        <w:ind w:left="259" w:hanging="259"/>
      </w:pPr>
      <w:r>
        <w:rPr>
          <w:rFonts w:ascii="Calibri" w:hAnsi="Calibri"/>
          <w:b/>
          <w:color w:val="C9972B"/>
          <w:sz w:val="16"/>
        </w:rPr>
        <w:t xml:space="preserve">• </w:t>
      </w:r>
      <w:hyperlink r:id="rId13">
        <w:r>
          <w:rPr>
            <w:color w:val="167D7F"/>
            <w:u w:val="single"/>
          </w:rPr>
          <w:t>Legal Services Commission SA - Strata and Community Titles</w:t>
        </w:r>
      </w:hyperlink>
    </w:p>
    <w:p>
      <w:pPr>
        <w:pStyle w:val="Source"/>
        <w:ind w:left="259" w:hanging="259"/>
      </w:pPr>
      <w:r>
        <w:rPr>
          <w:rFonts w:ascii="Calibri" w:hAnsi="Calibri"/>
          <w:b/>
          <w:color w:val="C9972B"/>
          <w:sz w:val="16"/>
        </w:rPr>
        <w:t xml:space="preserve">• </w:t>
      </w:r>
      <w:hyperlink r:id="rId14">
        <w:r>
          <w:rPr>
            <w:color w:val="167D7F"/>
            <w:u w:val="single"/>
          </w:rPr>
          <w:t>NSW Government - Levies, finances and insurance</w:t>
        </w:r>
      </w:hyperlink>
    </w:p>
    <w:sectPr w:rsidR="00FC693F" w:rsidRPr="0006063C" w:rsidSect="00034616">
      <w:headerReference w:type="default" r:id="rId9"/>
      <w:footerReference w:type="default" r:id="rId10"/>
      <w:pgSz w:w="12240" w:h="15840"/>
      <w:pgMar w:top="1123" w:right="1296" w:bottom="1037"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color w:val="5F6B7A"/>
        <w:sz w:val="16"/>
      </w:rPr>
      <w:t xml:space="preserve">Draft for review  |  General information only - check current law and scheme documents  |  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0B2545"/>
        <w:sz w:val="18"/>
      </w:rPr>
      <w:t>COMMITTEE ASSIST</w:t>
    </w:r>
    <w:r>
      <w:rPr>
        <w:rFonts w:ascii="Calibri" w:hAnsi="Calibri"/>
        <w:color w:val="5F6B7A"/>
        <w:sz w:val="17"/>
      </w:rPr>
      <w:t xml:space="preserve">   |   OWNER EDUCATION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23304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0B2545"/>
      <w:sz w:val="31"/>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libri" w:hAnsi="Calibri"/>
      <w:b/>
      <w:bCs/>
      <w:color w:val="167D7F"/>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Calibri" w:hAnsi="Calibri"/>
      <w:b/>
      <w:bCs/>
      <w:color w:val="0B254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0"/>
    </w:pPr>
    <w:rPr>
      <w:rFonts w:ascii="Calibri" w:hAnsi="Calibri"/>
      <w:color w:val="5F6B7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a.gov.au/topics/housing/owning-a-property/certificates-of-title/strata-titles" TargetMode="External"/><Relationship Id="rId12" Type="http://schemas.openxmlformats.org/officeDocument/2006/relationships/hyperlink" Target="https://www.sa.gov.au/topics/housing-and-property/owning-a-property/certificates-of-title/community-titles" TargetMode="External"/><Relationship Id="rId13" Type="http://schemas.openxmlformats.org/officeDocument/2006/relationships/hyperlink" Target="https://lsc.sa.gov.au/handbook/print/ch23s07.php?enlarge_text=true" TargetMode="External"/><Relationship Id="rId14" Type="http://schemas.openxmlformats.org/officeDocument/2006/relationships/hyperlink" Target="https://www.nsw.gov.au/housing-and-construction/strata/living/levies-finances-insur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Levies, budgets and long-term maintenance planning</dc:title>
  <dc:subject>Committee Assist owner education series</dc:subject>
  <dc:creator>Committee Assist</dc:creator>
  <cp:keywords>strata, community title, body corporate, owners corporation, South Australia</cp:keywords>
  <dc:description>generated by python-docx</dc:description>
  <cp:lastModifiedBy/>
  <cp:revision>1</cp:revision>
  <dcterms:created xsi:type="dcterms:W3CDTF">2013-12-23T23:15:00Z</dcterms:created>
  <dcterms:modified xsi:type="dcterms:W3CDTF">2013-12-23T23:15:00Z</dcterms:modified>
  <cp:category/>
</cp:coreProperties>
</file>