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60"/>
      </w:pPr>
      <w:r>
        <w:rPr>
          <w:rFonts w:ascii="Calibri" w:hAnsi="Calibri"/>
          <w:b/>
          <w:color w:val="C9972B"/>
          <w:sz w:val="18"/>
        </w:rPr>
        <w:t>PLAIN-ENGLISH GUIDE</w:t>
      </w:r>
    </w:p>
    <w:p>
      <w:pPr>
        <w:keepNext/>
        <w:spacing w:before="0" w:after="60"/>
      </w:pPr>
      <w:r>
        <w:rPr>
          <w:rFonts w:ascii="Calibri" w:hAnsi="Calibri"/>
          <w:b/>
          <w:color w:val="0B2545"/>
          <w:sz w:val="48"/>
        </w:rPr>
        <w:t>Common property: who repairs and who pays?</w:t>
      </w:r>
    </w:p>
    <w:p>
      <w:pPr>
        <w:spacing w:after="180"/>
      </w:pPr>
      <w:r>
        <w:rPr>
          <w:rFonts w:ascii="Calibri" w:hAnsi="Calibri"/>
          <w:i/>
          <w:color w:val="5F6B7A"/>
          <w:sz w:val="23"/>
        </w:rPr>
        <w:t>A practical way to separate ownership, maintenance responsibility and cost allocation</w:t>
      </w:r>
    </w:p>
    <w:p>
      <w:pPr>
        <w:keepLines/>
        <w:spacing w:before="0" w:after="160"/>
        <w:ind w:left="230" w:right="230"/>
        <w:shd w:fill="FFF8E8"/>
      </w:pPr>
      <w:r>
        <w:rPr>
          <w:rFonts w:ascii="Calibri" w:hAnsi="Calibri"/>
          <w:b/>
          <w:color w:val="0B2545"/>
          <w:sz w:val="21"/>
        </w:rPr>
        <w:t xml:space="preserve">In brief. </w:t>
      </w:r>
      <w:r>
        <w:rPr>
          <w:rFonts w:ascii="Calibri" w:hAnsi="Calibri"/>
          <w:color w:val="233044"/>
          <w:sz w:val="21"/>
        </w:rPr>
        <w:t>Responsibility usually follows the registered boundaries and the applicable legislation, not who first noticed the problem or who benefits most from the repair. The plan, Act and valid registered rules must be checked before allocating the work or cost.</w:t>
      </w:r>
    </w:p>
    <w:p>
      <w:pPr>
        <w:pStyle w:val="Heading2"/>
        <w:keepNext/>
      </w:pPr>
      <w:r>
        <w:t>Start with the plan</w:t>
      </w:r>
    </w:p>
    <w:p>
      <w:pPr>
        <w:widowControl/>
      </w:pPr>
      <w:r>
        <w:t>A feature may look as though it belongs to one apartment but still be common property. Roofs, foundations, external walls, shared pipes, driveways and structural elements are common examples. Services that exclusively serve one unit may be treated differently from infrastructure serving several lots.</w:t>
      </w:r>
    </w:p>
    <w:p>
      <w:pPr>
        <w:widowControl/>
      </w:pPr>
      <w:r>
        <w:t>In South Australian strata schemes, common property is generally land or space outside a unit, subject to the plan and special rules for structures and services. Community schemes and community strata schemes use different boundary concepts, so the title type must be identified first.</w:t>
      </w:r>
    </w:p>
    <w:p>
      <w:pPr>
        <w:pStyle w:val="Heading2"/>
        <w:keepNext/>
      </w:pPr>
      <w:r>
        <w:t>Separate three questions</w:t>
      </w:r>
    </w:p>
    <w:p>
      <w:pPr>
        <w:widowControl/>
      </w:pPr>
      <w:r>
        <w:t>First: who owns or controls the item? Second: who has the legal duty to maintain, repair or replace it? Third: how is the cost shared? These answers often align, but not always. A valid exclusive-use arrangement or registered rule may give one owner special rights and maintenance obligations over part of the common property.</w:t>
      </w:r>
    </w:p>
    <w:p>
      <w:pPr>
        <w:widowControl/>
      </w:pPr>
      <w:r>
        <w:t>Benefit alone does not automatically establish liability. Nor should a committee allocate cost through an informal decision if the Act, entitlements or registered rules require another method.</w:t>
      </w:r>
    </w:p>
    <w:p>
      <w:pPr>
        <w:pStyle w:val="Heading2"/>
        <w:keepNext/>
      </w:pPr>
      <w:r>
        <w:t>A defensible repair workflow</w:t>
      </w:r>
    </w:p>
    <w:p>
      <w:pPr>
        <w:widowControl/>
      </w:pPr>
      <w:r>
        <w:t>Record the defect and immediate safety risk. Obtain the plan and relevant rule. Identify whether the item exclusively serves one lot or several. Check previous approvals, warranties and insurance. Seek a technical report where the cause crosses boundaries. Obtain quotes against a clear scope. Have the authorised decision-maker approve the work and funding. Keep completion evidence and warranties with the property record.</w:t>
      </w:r>
    </w:p>
    <w:p>
      <w:pPr>
        <w:widowControl/>
      </w:pPr>
      <w:r>
        <w:t>Urgent work may require faster action, but urgency should not erase the record. Document the reason, authority, cost and later ratification required.</w:t>
      </w:r>
    </w:p>
    <w:p>
      <w:pPr>
        <w:pStyle w:val="Heading2"/>
        <w:keepNext/>
      </w:pPr>
      <w:r>
        <w:t>Avoid the most common mistakes</w:t>
      </w:r>
    </w:p>
    <w:p>
      <w:pPr>
        <w:widowControl/>
      </w:pPr>
      <w:r>
        <w:t>Do not assume the inside/outside distinction answers every question. Do not rely on an old committee custom that conflicts with the plan. Do not authorise alterations to common property without the required approval. Do not promise an owner reimbursement before responsibility and authority are confirmed.</w:t>
      </w:r>
    </w:p>
    <w:p>
      <w:pPr>
        <w:widowControl/>
      </w:pPr>
      <w:r>
        <w:t>When ownership, causation or cost allocation is disputed, obtain legal or surveying advice before making irreversible changes or commencing recovery action.</w:t>
      </w:r>
    </w:p>
    <w:p>
      <w:pPr>
        <w:pStyle w:val="Heading2"/>
        <w:spacing w:before="100" w:after="20"/>
      </w:pPr>
      <w:r>
        <w:t>Official sources and further reading</w:t>
      </w:r>
    </w:p>
    <w:p>
      <w:pPr>
        <w:pStyle w:val="Source"/>
        <w:ind w:left="259" w:hanging="259"/>
      </w:pPr>
      <w:r>
        <w:rPr>
          <w:rFonts w:ascii="Calibri" w:hAnsi="Calibri"/>
          <w:b/>
          <w:color w:val="C9972B"/>
          <w:sz w:val="16"/>
        </w:rPr>
        <w:t xml:space="preserve">• </w:t>
      </w:r>
      <w:hyperlink r:id="rId11">
        <w:r>
          <w:rPr>
            <w:color w:val="167D7F"/>
            <w:u w:val="single"/>
          </w:rPr>
          <w:t>Legal Services Commission SA - Common property guidance</w:t>
        </w:r>
      </w:hyperlink>
    </w:p>
    <w:p>
      <w:pPr>
        <w:pStyle w:val="Source"/>
        <w:ind w:left="259" w:hanging="259"/>
      </w:pPr>
      <w:r>
        <w:rPr>
          <w:rFonts w:ascii="Calibri" w:hAnsi="Calibri"/>
          <w:b/>
          <w:color w:val="C9972B"/>
          <w:sz w:val="16"/>
        </w:rPr>
        <w:t xml:space="preserve">• </w:t>
      </w:r>
      <w:hyperlink r:id="rId12">
        <w:r>
          <w:rPr>
            <w:color w:val="167D7F"/>
            <w:u w:val="single"/>
          </w:rPr>
          <w:t>Legal Services Commission SA - Strata Titles legal guide</w:t>
        </w:r>
      </w:hyperlink>
    </w:p>
    <w:p>
      <w:pPr>
        <w:pStyle w:val="Source"/>
        <w:ind w:left="259" w:hanging="259"/>
      </w:pPr>
      <w:r>
        <w:rPr>
          <w:rFonts w:ascii="Calibri" w:hAnsi="Calibri"/>
          <w:b/>
          <w:color w:val="C9972B"/>
          <w:sz w:val="16"/>
        </w:rPr>
        <w:t xml:space="preserve">• </w:t>
      </w:r>
      <w:hyperlink r:id="rId13">
        <w:r>
          <w:rPr>
            <w:color w:val="167D7F"/>
            <w:u w:val="single"/>
          </w:rPr>
          <w:t>SA.GOV.AU - Community titles</w:t>
        </w:r>
      </w:hyperlink>
    </w:p>
    <w:p>
      <w:pPr>
        <w:pStyle w:val="Source"/>
        <w:ind w:left="259" w:hanging="259"/>
      </w:pPr>
      <w:r>
        <w:rPr>
          <w:rFonts w:ascii="Calibri" w:hAnsi="Calibri"/>
          <w:b/>
          <w:color w:val="C9972B"/>
          <w:sz w:val="16"/>
        </w:rPr>
        <w:t xml:space="preserve">• </w:t>
      </w:r>
      <w:hyperlink r:id="rId14">
        <w:r>
          <w:rPr>
            <w:color w:val="167D7F"/>
            <w:u w:val="single"/>
          </w:rPr>
          <w:t>Community Titles Act 1996 (SA)</w:t>
        </w:r>
      </w:hyperlink>
    </w:p>
    <w:sectPr w:rsidR="00FC693F" w:rsidRPr="0006063C" w:rsidSect="00034616">
      <w:headerReference w:type="default" r:id="rId9"/>
      <w:footerReference w:type="default" r:id="rId10"/>
      <w:pgSz w:w="12240" w:h="15840"/>
      <w:pgMar w:top="1123" w:right="1296" w:bottom="1037"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F6B7A"/>
        <w:sz w:val="16"/>
      </w:rPr>
      <w:t xml:space="preserve">Draft for review  |  General information only - check current law and scheme documents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0B2545"/>
        <w:sz w:val="18"/>
      </w:rPr>
      <w:t>COMMITTEE ASSIST</w:t>
    </w:r>
    <w:r>
      <w:rPr>
        <w:rFonts w:ascii="Calibri" w:hAnsi="Calibri"/>
        <w:color w:val="5F6B7A"/>
        <w:sz w:val="17"/>
      </w:rPr>
      <w:t xml:space="preserve">   |   OWNER EDUCATION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2330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B2545"/>
      <w:sz w:val="31"/>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b/>
      <w:bCs/>
      <w:color w:val="167D7F"/>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Calibri" w:hAnsi="Calibri"/>
      <w:b/>
      <w:bCs/>
      <w:color w:val="0B25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0"/>
    </w:pPr>
    <w:rPr>
      <w:rFonts w:ascii="Calibri" w:hAnsi="Calibri"/>
      <w:color w:val="5F6B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sc.sa.gov.au/handbook/print/ch23s07.php?enlarge_text=true" TargetMode="External"/><Relationship Id="rId12" Type="http://schemas.openxmlformats.org/officeDocument/2006/relationships/hyperlink" Target="https://lsc.sa.gov.au/resources/StrataTitlesBooklet.pdf" TargetMode="External"/><Relationship Id="rId13" Type="http://schemas.openxmlformats.org/officeDocument/2006/relationships/hyperlink" Target="https://www.sa.gov.au/topics/housing-and-property/owning-a-property/certificates-of-title/community-titles" TargetMode="External"/><Relationship Id="rId14" Type="http://schemas.openxmlformats.org/officeDocument/2006/relationships/hyperlink" Target="https://www.legislation.sa.gov.au/lz?path=%2Fc%2Fa%2Fcommunity+titles+act+19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property: who repairs and who pays?</dc:title>
  <dc:subject>Committee Assist owner education series</dc:subject>
  <dc:creator>Committee Assist</dc:creator>
  <cp:keywords>strata, community title, body corporate, owners corporation, South Australia</cp:keywords>
  <dc:description>generated by python-docx</dc:description>
  <cp:lastModifiedBy/>
  <cp:revision>1</cp:revision>
  <dcterms:created xsi:type="dcterms:W3CDTF">2013-12-23T23:15:00Z</dcterms:created>
  <dcterms:modified xsi:type="dcterms:W3CDTF">2013-12-23T23:15:00Z</dcterms:modified>
  <cp:category/>
</cp:coreProperties>
</file>